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F700" w14:textId="77777777" w:rsidR="004559CE" w:rsidRPr="004559CE" w:rsidRDefault="004559CE" w:rsidP="004559CE">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559CE">
        <w:rPr>
          <w:rFonts w:ascii="Lato" w:eastAsia="Times New Roman" w:hAnsi="Lato" w:cs="Times New Roman"/>
          <w:color w:val="CC3300"/>
          <w:kern w:val="36"/>
          <w:sz w:val="36"/>
          <w:szCs w:val="36"/>
          <w:lang w:eastAsia="fr-BE"/>
          <w14:ligatures w14:val="none"/>
        </w:rPr>
        <w:t>Le conflit au Moyen-Orient s’invite sur le marché de l’aluminium</w:t>
      </w:r>
    </w:p>
    <w:p w14:paraId="07A3EB5B" w14:textId="77777777" w:rsidR="004559CE" w:rsidRDefault="004559CE" w:rsidP="004559CE">
      <w:pPr>
        <w:shd w:val="clear" w:color="auto" w:fill="FFFFFF"/>
        <w:spacing w:before="75" w:after="75" w:line="240" w:lineRule="auto"/>
        <w:jc w:val="both"/>
        <w:rPr>
          <w:rFonts w:ascii="Lato" w:eastAsia="Times New Roman" w:hAnsi="Lato" w:cs="Times New Roman"/>
          <w:b/>
          <w:bCs/>
          <w:color w:val="000000"/>
          <w:kern w:val="0"/>
          <w:sz w:val="23"/>
          <w:szCs w:val="23"/>
          <w:lang w:eastAsia="fr-BE"/>
          <w14:ligatures w14:val="none"/>
        </w:rPr>
      </w:pPr>
    </w:p>
    <w:p w14:paraId="346F2DF1" w14:textId="396F8DE9"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b/>
          <w:bCs/>
          <w:color w:val="000000"/>
          <w:kern w:val="0"/>
          <w:sz w:val="23"/>
          <w:szCs w:val="23"/>
          <w:lang w:eastAsia="fr-BE"/>
          <w14:ligatures w14:val="none"/>
        </w:rPr>
        <w:t>Le marché de l’aluminium, déjà en proie à de fortes incertitudes en lien avec les droits de douane américains, doit, en outre, composer avec les tensions géopolitiques au Moyen-Orient. L’aluminium produit dans la région est livré en Europe et des perturbations sont à craindre, en plus de l’augmentation des coûts de transport.</w:t>
      </w:r>
    </w:p>
    <w:p w14:paraId="284245FA"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br/>
      </w:r>
      <w:r w:rsidRPr="004559CE">
        <w:rPr>
          <w:rFonts w:ascii="Lato" w:eastAsia="Times New Roman" w:hAnsi="Lato" w:cs="Times New Roman"/>
          <w:b/>
          <w:bCs/>
          <w:color w:val="A52A2A"/>
          <w:kern w:val="0"/>
          <w:sz w:val="23"/>
          <w:szCs w:val="23"/>
          <w:lang w:eastAsia="fr-BE"/>
          <w14:ligatures w14:val="none"/>
        </w:rPr>
        <w:t>Aluminium : léger tassement</w:t>
      </w:r>
    </w:p>
    <w:p w14:paraId="11834FFB"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Les volumes d’échanges sont restés limités sur le marché européen de l’aluminium, en raison de la faiblesse de la demande et du </w:t>
      </w:r>
      <w:proofErr w:type="spellStart"/>
      <w:r w:rsidRPr="004559CE">
        <w:rPr>
          <w:rFonts w:ascii="Lato" w:eastAsia="Times New Roman" w:hAnsi="Lato" w:cs="Times New Roman"/>
          <w:i/>
          <w:iCs/>
          <w:color w:val="000000"/>
          <w:kern w:val="0"/>
          <w:sz w:val="23"/>
          <w:szCs w:val="23"/>
          <w:lang w:eastAsia="fr-BE"/>
          <w14:ligatures w14:val="none"/>
        </w:rPr>
        <w:t>contango</w:t>
      </w:r>
      <w:proofErr w:type="spellEnd"/>
      <w:r w:rsidRPr="004559CE">
        <w:rPr>
          <w:rFonts w:ascii="Lato" w:eastAsia="Times New Roman" w:hAnsi="Lato" w:cs="Times New Roman"/>
          <w:i/>
          <w:iCs/>
          <w:color w:val="000000"/>
          <w:kern w:val="0"/>
          <w:sz w:val="23"/>
          <w:szCs w:val="23"/>
          <w:lang w:eastAsia="fr-BE"/>
          <w14:ligatures w14:val="none"/>
        </w:rPr>
        <w:t> </w:t>
      </w:r>
      <w:r w:rsidRPr="004559CE">
        <w:rPr>
          <w:rFonts w:ascii="Lato" w:eastAsia="Times New Roman" w:hAnsi="Lato" w:cs="Times New Roman"/>
          <w:color w:val="000000"/>
          <w:kern w:val="0"/>
          <w:sz w:val="23"/>
          <w:szCs w:val="23"/>
          <w:lang w:eastAsia="fr-BE"/>
          <w14:ligatures w14:val="none"/>
        </w:rPr>
        <w:t>entre les contrats comptant et trois mois. « </w:t>
      </w:r>
      <w:r w:rsidRPr="004559CE">
        <w:rPr>
          <w:rFonts w:ascii="Lato" w:eastAsia="Times New Roman" w:hAnsi="Lato" w:cs="Times New Roman"/>
          <w:i/>
          <w:iCs/>
          <w:color w:val="000000"/>
          <w:kern w:val="0"/>
          <w:sz w:val="23"/>
          <w:szCs w:val="23"/>
          <w:lang w:eastAsia="fr-BE"/>
          <w14:ligatures w14:val="none"/>
        </w:rPr>
        <w:t>Des lots sont vendus ici et là, mais globalement le marché est très calme </w:t>
      </w:r>
      <w:r w:rsidRPr="004559CE">
        <w:rPr>
          <w:rFonts w:ascii="Lato" w:eastAsia="Times New Roman" w:hAnsi="Lato" w:cs="Times New Roman"/>
          <w:color w:val="000000"/>
          <w:kern w:val="0"/>
          <w:sz w:val="23"/>
          <w:szCs w:val="23"/>
          <w:lang w:eastAsia="fr-BE"/>
          <w14:ligatures w14:val="none"/>
        </w:rPr>
        <w:t>», constate un trader. Les primes sur les </w:t>
      </w:r>
      <w:r w:rsidRPr="004559CE">
        <w:rPr>
          <w:rFonts w:ascii="Lato" w:eastAsia="Times New Roman" w:hAnsi="Lato" w:cs="Times New Roman"/>
          <w:color w:val="000000"/>
          <w:kern w:val="0"/>
          <w:sz w:val="23"/>
          <w:szCs w:val="23"/>
          <w:u w:val="single"/>
          <w:lang w:eastAsia="fr-BE"/>
          <w14:ligatures w14:val="none"/>
        </w:rPr>
        <w:t>lingots P1020 dédouanés</w:t>
      </w:r>
      <w:r w:rsidRPr="004559CE">
        <w:rPr>
          <w:rFonts w:ascii="Lato" w:eastAsia="Times New Roman" w:hAnsi="Lato" w:cs="Times New Roman"/>
          <w:color w:val="000000"/>
          <w:kern w:val="0"/>
          <w:sz w:val="23"/>
          <w:szCs w:val="23"/>
          <w:lang w:eastAsia="fr-BE"/>
          <w14:ligatures w14:val="none"/>
        </w:rPr>
        <w:t>, au départ des entrepôts de </w:t>
      </w:r>
      <w:r w:rsidRPr="004559CE">
        <w:rPr>
          <w:rFonts w:ascii="Lato" w:eastAsia="Times New Roman" w:hAnsi="Lato" w:cs="Times New Roman"/>
          <w:b/>
          <w:bCs/>
          <w:color w:val="000000"/>
          <w:kern w:val="0"/>
          <w:sz w:val="23"/>
          <w:szCs w:val="23"/>
          <w:lang w:eastAsia="fr-BE"/>
          <w14:ligatures w14:val="none"/>
        </w:rPr>
        <w:t>Rotterdam</w:t>
      </w:r>
      <w:r w:rsidRPr="004559CE">
        <w:rPr>
          <w:rFonts w:ascii="Lato" w:eastAsia="Times New Roman" w:hAnsi="Lato" w:cs="Times New Roman"/>
          <w:color w:val="000000"/>
          <w:kern w:val="0"/>
          <w:sz w:val="23"/>
          <w:szCs w:val="23"/>
          <w:lang w:eastAsia="fr-BE"/>
          <w14:ligatures w14:val="none"/>
        </w:rPr>
        <w:t xml:space="preserve">, demeurent inchangées à 180-200 $/t depuis le 3 juin. Le marché reste attentif à la situation outre-Atlantique, le premier ministre canadien Mark </w:t>
      </w:r>
      <w:proofErr w:type="spellStart"/>
      <w:r w:rsidRPr="004559CE">
        <w:rPr>
          <w:rFonts w:ascii="Lato" w:eastAsia="Times New Roman" w:hAnsi="Lato" w:cs="Times New Roman"/>
          <w:color w:val="000000"/>
          <w:kern w:val="0"/>
          <w:sz w:val="23"/>
          <w:szCs w:val="23"/>
          <w:lang w:eastAsia="fr-BE"/>
          <w14:ligatures w14:val="none"/>
        </w:rPr>
        <w:t>Carney</w:t>
      </w:r>
      <w:proofErr w:type="spellEnd"/>
      <w:r w:rsidRPr="004559CE">
        <w:rPr>
          <w:rFonts w:ascii="Lato" w:eastAsia="Times New Roman" w:hAnsi="Lato" w:cs="Times New Roman"/>
          <w:color w:val="000000"/>
          <w:kern w:val="0"/>
          <w:sz w:val="23"/>
          <w:szCs w:val="23"/>
          <w:lang w:eastAsia="fr-BE"/>
          <w14:ligatures w14:val="none"/>
        </w:rPr>
        <w:t xml:space="preserve"> ayant menacé d’imposer des droits de douane compensatoires sur les importations américaines, si aucun accord commercial n’est trouvé avant le 21 juillet. « </w:t>
      </w:r>
      <w:r w:rsidRPr="004559CE">
        <w:rPr>
          <w:rFonts w:ascii="Lato" w:eastAsia="Times New Roman" w:hAnsi="Lato" w:cs="Times New Roman"/>
          <w:i/>
          <w:iCs/>
          <w:color w:val="000000"/>
          <w:kern w:val="0"/>
          <w:sz w:val="23"/>
          <w:szCs w:val="23"/>
          <w:lang w:eastAsia="fr-BE"/>
          <w14:ligatures w14:val="none"/>
        </w:rPr>
        <w:t>Si le Canada parvient à négocier une baisse des droits de douane avec les Etats-Unis, le métal canadien pourrait être dirigé vers les Etats-Unis au lieu de l’Europe</w:t>
      </w:r>
      <w:r w:rsidRPr="004559CE">
        <w:rPr>
          <w:rFonts w:ascii="Lato" w:eastAsia="Times New Roman" w:hAnsi="Lato" w:cs="Times New Roman"/>
          <w:color w:val="000000"/>
          <w:kern w:val="0"/>
          <w:sz w:val="23"/>
          <w:szCs w:val="23"/>
          <w:lang w:eastAsia="fr-BE"/>
          <w14:ligatures w14:val="none"/>
        </w:rPr>
        <w:t> », suggère le trader. D’autre part, le conflit entre Israël et l’Iran préoccupe les acteurs du marché des </w:t>
      </w:r>
      <w:r w:rsidRPr="004559CE">
        <w:rPr>
          <w:rFonts w:ascii="Lato" w:eastAsia="Times New Roman" w:hAnsi="Lato" w:cs="Times New Roman"/>
          <w:color w:val="000000"/>
          <w:kern w:val="0"/>
          <w:sz w:val="23"/>
          <w:szCs w:val="23"/>
          <w:u w:val="single"/>
          <w:lang w:eastAsia="fr-BE"/>
          <w14:ligatures w14:val="none"/>
        </w:rPr>
        <w:t>lingots non dédouanés</w:t>
      </w:r>
      <w:r w:rsidRPr="004559CE">
        <w:rPr>
          <w:rFonts w:ascii="Lato" w:eastAsia="Times New Roman" w:hAnsi="Lato" w:cs="Times New Roman"/>
          <w:color w:val="000000"/>
          <w:kern w:val="0"/>
          <w:sz w:val="23"/>
          <w:szCs w:val="23"/>
          <w:lang w:eastAsia="fr-BE"/>
          <w14:ligatures w14:val="none"/>
        </w:rPr>
        <w:t>. Ils craignent des perturbations dans les expéditions d’aluminium du Moyen-Orient vers l’Europe, qui pourraient entraîner une progression des primes européennes. Mais l’aluminium canadien, qui est exempté de droits de douane et peut être considéré comme du métal non dédouané, pourrait pallier le manque. Les primes sur les </w:t>
      </w:r>
      <w:r w:rsidRPr="004559CE">
        <w:rPr>
          <w:rFonts w:ascii="Lato" w:eastAsia="Times New Roman" w:hAnsi="Lato" w:cs="Times New Roman"/>
          <w:color w:val="000000"/>
          <w:kern w:val="0"/>
          <w:sz w:val="23"/>
          <w:szCs w:val="23"/>
          <w:u w:val="single"/>
          <w:lang w:eastAsia="fr-BE"/>
          <w14:ligatures w14:val="none"/>
        </w:rPr>
        <w:t>lingots non dédouanés</w:t>
      </w:r>
      <w:r w:rsidRPr="004559CE">
        <w:rPr>
          <w:rFonts w:ascii="Lato" w:eastAsia="Times New Roman" w:hAnsi="Lato" w:cs="Times New Roman"/>
          <w:color w:val="000000"/>
          <w:kern w:val="0"/>
          <w:sz w:val="23"/>
          <w:szCs w:val="23"/>
          <w:lang w:eastAsia="fr-BE"/>
          <w14:ligatures w14:val="none"/>
        </w:rPr>
        <w:t> ont fléchi à 130-155 $/t, contre 135-155 $/t la semaine passée. Les acteurs du marché concèdent aujourd’hui que le niveau de 160 $/t est désormais hors de portée.</w:t>
      </w:r>
    </w:p>
    <w:p w14:paraId="75A00096"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Sur le marché des </w:t>
      </w:r>
      <w:r w:rsidRPr="004559CE">
        <w:rPr>
          <w:rFonts w:ascii="Lato" w:eastAsia="Times New Roman" w:hAnsi="Lato" w:cs="Times New Roman"/>
          <w:color w:val="000000"/>
          <w:kern w:val="0"/>
          <w:sz w:val="23"/>
          <w:szCs w:val="23"/>
          <w:u w:val="single"/>
          <w:lang w:eastAsia="fr-BE"/>
          <w14:ligatures w14:val="none"/>
        </w:rPr>
        <w:t>billettes d’extrusion 6063</w:t>
      </w:r>
      <w:r w:rsidRPr="004559CE">
        <w:rPr>
          <w:rFonts w:ascii="Lato" w:eastAsia="Times New Roman" w:hAnsi="Lato" w:cs="Times New Roman"/>
          <w:color w:val="000000"/>
          <w:kern w:val="0"/>
          <w:sz w:val="23"/>
          <w:szCs w:val="23"/>
          <w:lang w:eastAsia="fr-BE"/>
          <w14:ligatures w14:val="none"/>
        </w:rPr>
        <w:t>, des tensions sur les disponibilités ont été constatées en </w:t>
      </w:r>
      <w:r w:rsidRPr="004559CE">
        <w:rPr>
          <w:rFonts w:ascii="Lato" w:eastAsia="Times New Roman" w:hAnsi="Lato" w:cs="Times New Roman"/>
          <w:b/>
          <w:bCs/>
          <w:color w:val="000000"/>
          <w:kern w:val="0"/>
          <w:sz w:val="23"/>
          <w:szCs w:val="23"/>
          <w:lang w:eastAsia="fr-BE"/>
          <w14:ligatures w14:val="none"/>
        </w:rPr>
        <w:t>Allemagne</w:t>
      </w:r>
      <w:r w:rsidRPr="004559CE">
        <w:rPr>
          <w:rFonts w:ascii="Lato" w:eastAsia="Times New Roman" w:hAnsi="Lato" w:cs="Times New Roman"/>
          <w:color w:val="000000"/>
          <w:kern w:val="0"/>
          <w:sz w:val="23"/>
          <w:szCs w:val="23"/>
          <w:lang w:eastAsia="fr-BE"/>
          <w14:ligatures w14:val="none"/>
        </w:rPr>
        <w:t>, les consommateurs prisant certaines qualités au détriment d’autres. Les primes sur les billettes livrées en </w:t>
      </w:r>
      <w:r w:rsidRPr="004559CE">
        <w:rPr>
          <w:rFonts w:ascii="Lato" w:eastAsia="Times New Roman" w:hAnsi="Lato" w:cs="Times New Roman"/>
          <w:b/>
          <w:bCs/>
          <w:color w:val="000000"/>
          <w:kern w:val="0"/>
          <w:sz w:val="23"/>
          <w:szCs w:val="23"/>
          <w:lang w:eastAsia="fr-BE"/>
          <w14:ligatures w14:val="none"/>
        </w:rPr>
        <w:t>Allemagne </w:t>
      </w:r>
      <w:r w:rsidRPr="004559CE">
        <w:rPr>
          <w:rFonts w:ascii="Lato" w:eastAsia="Times New Roman" w:hAnsi="Lato" w:cs="Times New Roman"/>
          <w:color w:val="000000"/>
          <w:kern w:val="0"/>
          <w:sz w:val="23"/>
          <w:szCs w:val="23"/>
          <w:lang w:eastAsia="fr-BE"/>
          <w14:ligatures w14:val="none"/>
        </w:rPr>
        <w:t>ont progressé à 500-550 $/t. La hausse des coûts de production exerce également une pression haussière sur les primes.</w:t>
      </w:r>
    </w:p>
    <w:p w14:paraId="1643615F"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 </w:t>
      </w:r>
    </w:p>
    <w:p w14:paraId="31FB3C20"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b/>
          <w:bCs/>
          <w:color w:val="A52A2A"/>
          <w:kern w:val="0"/>
          <w:sz w:val="23"/>
          <w:szCs w:val="23"/>
          <w:lang w:eastAsia="fr-BE"/>
          <w14:ligatures w14:val="none"/>
        </w:rPr>
        <w:t>Alliages d’aluminium : stables</w:t>
      </w:r>
    </w:p>
    <w:p w14:paraId="0E3E5D76"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Les primes finalisées sur les </w:t>
      </w:r>
      <w:r w:rsidRPr="004559CE">
        <w:rPr>
          <w:rFonts w:ascii="Lato" w:eastAsia="Times New Roman" w:hAnsi="Lato" w:cs="Times New Roman"/>
          <w:color w:val="000000"/>
          <w:kern w:val="0"/>
          <w:sz w:val="23"/>
          <w:szCs w:val="23"/>
          <w:u w:val="single"/>
          <w:lang w:eastAsia="fr-BE"/>
          <w14:ligatures w14:val="none"/>
        </w:rPr>
        <w:t>lingots de fonderie d’alliages d’aluminium</w:t>
      </w:r>
      <w:r w:rsidRPr="004559CE">
        <w:rPr>
          <w:rFonts w:ascii="Lato" w:eastAsia="Times New Roman" w:hAnsi="Lato" w:cs="Times New Roman"/>
          <w:color w:val="000000"/>
          <w:kern w:val="0"/>
          <w:sz w:val="23"/>
          <w:szCs w:val="23"/>
          <w:lang w:eastAsia="fr-BE"/>
          <w14:ligatures w14:val="none"/>
        </w:rPr>
        <w:t> sont figées depuis plusieurs semaines, et pour cause, les errances de Donald Trump en matière de droits de douane créent des incertitudes. Dans ces conditions, la faiblesse de la demande du secteur automobile, principal consommateur de cette qualité, persiste. « </w:t>
      </w:r>
      <w:r w:rsidRPr="004559CE">
        <w:rPr>
          <w:rFonts w:ascii="Lato" w:eastAsia="Times New Roman" w:hAnsi="Lato" w:cs="Times New Roman"/>
          <w:i/>
          <w:iCs/>
          <w:color w:val="000000"/>
          <w:kern w:val="0"/>
          <w:sz w:val="23"/>
          <w:szCs w:val="23"/>
          <w:lang w:eastAsia="fr-BE"/>
          <w14:ligatures w14:val="none"/>
        </w:rPr>
        <w:t xml:space="preserve">Les consommateurs de premier plan sont discrets, ils achètent </w:t>
      </w:r>
      <w:proofErr w:type="gramStart"/>
      <w:r w:rsidRPr="004559CE">
        <w:rPr>
          <w:rFonts w:ascii="Lato" w:eastAsia="Times New Roman" w:hAnsi="Lato" w:cs="Times New Roman"/>
          <w:i/>
          <w:iCs/>
          <w:color w:val="000000"/>
          <w:kern w:val="0"/>
          <w:sz w:val="23"/>
          <w:szCs w:val="23"/>
          <w:lang w:eastAsia="fr-BE"/>
          <w14:ligatures w14:val="none"/>
        </w:rPr>
        <w:t>a</w:t>
      </w:r>
      <w:proofErr w:type="gramEnd"/>
      <w:r w:rsidRPr="004559CE">
        <w:rPr>
          <w:rFonts w:ascii="Lato" w:eastAsia="Times New Roman" w:hAnsi="Lato" w:cs="Times New Roman"/>
          <w:i/>
          <w:iCs/>
          <w:color w:val="000000"/>
          <w:kern w:val="0"/>
          <w:sz w:val="23"/>
          <w:szCs w:val="23"/>
          <w:lang w:eastAsia="fr-BE"/>
          <w14:ligatures w14:val="none"/>
        </w:rPr>
        <w:t xml:space="preserve"> minima </w:t>
      </w:r>
      <w:r w:rsidRPr="004559CE">
        <w:rPr>
          <w:rFonts w:ascii="Lato" w:eastAsia="Times New Roman" w:hAnsi="Lato" w:cs="Times New Roman"/>
          <w:color w:val="000000"/>
          <w:kern w:val="0"/>
          <w:sz w:val="23"/>
          <w:szCs w:val="23"/>
          <w:lang w:eastAsia="fr-BE"/>
          <w14:ligatures w14:val="none"/>
        </w:rPr>
        <w:t>», indique un trader européen. « </w:t>
      </w:r>
      <w:r w:rsidRPr="004559CE">
        <w:rPr>
          <w:rFonts w:ascii="Lato" w:eastAsia="Times New Roman" w:hAnsi="Lato" w:cs="Times New Roman"/>
          <w:i/>
          <w:iCs/>
          <w:color w:val="000000"/>
          <w:kern w:val="0"/>
          <w:sz w:val="23"/>
          <w:szCs w:val="23"/>
          <w:lang w:eastAsia="fr-BE"/>
          <w14:ligatures w14:val="none"/>
        </w:rPr>
        <w:t>Nous recevons des propositions inférieures à la fourchette actuelle mais, pour autant, nous n’achetons pas </w:t>
      </w:r>
      <w:r w:rsidRPr="004559CE">
        <w:rPr>
          <w:rFonts w:ascii="Lato" w:eastAsia="Times New Roman" w:hAnsi="Lato" w:cs="Times New Roman"/>
          <w:color w:val="000000"/>
          <w:kern w:val="0"/>
          <w:sz w:val="23"/>
          <w:szCs w:val="23"/>
          <w:lang w:eastAsia="fr-BE"/>
          <w14:ligatures w14:val="none"/>
        </w:rPr>
        <w:t>», confie un consommateur.</w:t>
      </w:r>
    </w:p>
    <w:p w14:paraId="09943670"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Ainsi, les primes sur les </w:t>
      </w:r>
      <w:r w:rsidRPr="004559CE">
        <w:rPr>
          <w:rFonts w:ascii="Lato" w:eastAsia="Times New Roman" w:hAnsi="Lato" w:cs="Times New Roman"/>
          <w:color w:val="000000"/>
          <w:kern w:val="0"/>
          <w:sz w:val="23"/>
          <w:szCs w:val="23"/>
          <w:u w:val="single"/>
          <w:lang w:eastAsia="fr-BE"/>
          <w14:ligatures w14:val="none"/>
        </w:rPr>
        <w:t>lingots de fonderie d’alliages à 7% de silicium</w:t>
      </w:r>
      <w:r w:rsidRPr="004559CE">
        <w:rPr>
          <w:rFonts w:ascii="Lato" w:eastAsia="Times New Roman" w:hAnsi="Lato" w:cs="Times New Roman"/>
          <w:color w:val="000000"/>
          <w:kern w:val="0"/>
          <w:sz w:val="23"/>
          <w:szCs w:val="23"/>
          <w:lang w:eastAsia="fr-BE"/>
          <w14:ligatures w14:val="none"/>
        </w:rPr>
        <w:t>, rendus dédouanés livrés en </w:t>
      </w:r>
      <w:r w:rsidRPr="004559CE">
        <w:rPr>
          <w:rFonts w:ascii="Lato" w:eastAsia="Times New Roman" w:hAnsi="Lato" w:cs="Times New Roman"/>
          <w:b/>
          <w:bCs/>
          <w:color w:val="000000"/>
          <w:kern w:val="0"/>
          <w:sz w:val="23"/>
          <w:szCs w:val="23"/>
          <w:lang w:eastAsia="fr-BE"/>
          <w14:ligatures w14:val="none"/>
        </w:rPr>
        <w:t xml:space="preserve">Europe de </w:t>
      </w:r>
      <w:proofErr w:type="gramStart"/>
      <w:r w:rsidRPr="004559CE">
        <w:rPr>
          <w:rFonts w:ascii="Lato" w:eastAsia="Times New Roman" w:hAnsi="Lato" w:cs="Times New Roman"/>
          <w:b/>
          <w:bCs/>
          <w:color w:val="000000"/>
          <w:kern w:val="0"/>
          <w:sz w:val="23"/>
          <w:szCs w:val="23"/>
          <w:lang w:eastAsia="fr-BE"/>
          <w14:ligatures w14:val="none"/>
        </w:rPr>
        <w:t>l’Est </w:t>
      </w:r>
      <w:r w:rsidRPr="004559CE">
        <w:rPr>
          <w:rFonts w:ascii="Lato" w:eastAsia="Times New Roman" w:hAnsi="Lato" w:cs="Times New Roman"/>
          <w:color w:val="000000"/>
          <w:kern w:val="0"/>
          <w:sz w:val="23"/>
          <w:szCs w:val="23"/>
          <w:lang w:eastAsia="fr-BE"/>
          <w14:ligatures w14:val="none"/>
        </w:rPr>
        <w:t>,demeurent</w:t>
      </w:r>
      <w:proofErr w:type="gramEnd"/>
      <w:r w:rsidRPr="004559CE">
        <w:rPr>
          <w:rFonts w:ascii="Lato" w:eastAsia="Times New Roman" w:hAnsi="Lato" w:cs="Times New Roman"/>
          <w:color w:val="000000"/>
          <w:kern w:val="0"/>
          <w:sz w:val="23"/>
          <w:szCs w:val="23"/>
          <w:lang w:eastAsia="fr-BE"/>
          <w14:ligatures w14:val="none"/>
        </w:rPr>
        <w:t xml:space="preserve"> stables à 375-450 $/t. Les primes sur les lingots livrés en </w:t>
      </w:r>
      <w:r w:rsidRPr="004559CE">
        <w:rPr>
          <w:rFonts w:ascii="Lato" w:eastAsia="Times New Roman" w:hAnsi="Lato" w:cs="Times New Roman"/>
          <w:b/>
          <w:bCs/>
          <w:color w:val="000000"/>
          <w:kern w:val="0"/>
          <w:sz w:val="23"/>
          <w:szCs w:val="23"/>
          <w:lang w:eastAsia="fr-BE"/>
          <w14:ligatures w14:val="none"/>
        </w:rPr>
        <w:t>Allemagne </w:t>
      </w:r>
      <w:r w:rsidRPr="004559CE">
        <w:rPr>
          <w:rFonts w:ascii="Lato" w:eastAsia="Times New Roman" w:hAnsi="Lato" w:cs="Times New Roman"/>
          <w:color w:val="000000"/>
          <w:kern w:val="0"/>
          <w:sz w:val="23"/>
          <w:szCs w:val="23"/>
          <w:lang w:eastAsia="fr-BE"/>
          <w14:ligatures w14:val="none"/>
        </w:rPr>
        <w:t>sont également inchangées à 375-450 $/t.</w:t>
      </w:r>
    </w:p>
    <w:p w14:paraId="15F90D81"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 </w:t>
      </w:r>
    </w:p>
    <w:p w14:paraId="0E87C4CA"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b/>
          <w:bCs/>
          <w:color w:val="A52A2A"/>
          <w:kern w:val="0"/>
          <w:sz w:val="23"/>
          <w:szCs w:val="23"/>
          <w:lang w:eastAsia="fr-BE"/>
          <w14:ligatures w14:val="none"/>
        </w:rPr>
        <w:t>Zinc : tensions sur les disponibilités</w:t>
      </w:r>
    </w:p>
    <w:p w14:paraId="09953255"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 xml:space="preserve">Les tensions sur les disponibilités, toujours palpables, exercent une pression haussière sur les primes nouées sur le continent. Les producteurs européens de premier plan ne mettent, </w:t>
      </w:r>
      <w:r w:rsidRPr="004559CE">
        <w:rPr>
          <w:rFonts w:ascii="Lato" w:eastAsia="Times New Roman" w:hAnsi="Lato" w:cs="Times New Roman"/>
          <w:color w:val="000000"/>
          <w:kern w:val="0"/>
          <w:sz w:val="23"/>
          <w:szCs w:val="23"/>
          <w:lang w:eastAsia="fr-BE"/>
          <w14:ligatures w14:val="none"/>
        </w:rPr>
        <w:lastRenderedPageBreak/>
        <w:t>en effet, que très peu de métal à disposition du marché spot. Les primes sur les </w:t>
      </w:r>
      <w:r w:rsidRPr="004559CE">
        <w:rPr>
          <w:rFonts w:ascii="Lato" w:eastAsia="Times New Roman" w:hAnsi="Lato" w:cs="Times New Roman"/>
          <w:color w:val="000000"/>
          <w:kern w:val="0"/>
          <w:sz w:val="23"/>
          <w:szCs w:val="23"/>
          <w:u w:val="single"/>
          <w:lang w:eastAsia="fr-BE"/>
          <w14:ligatures w14:val="none"/>
        </w:rPr>
        <w:t>lingots de zinc SHG</w:t>
      </w:r>
      <w:r w:rsidRPr="004559CE">
        <w:rPr>
          <w:rFonts w:ascii="Lato" w:eastAsia="Times New Roman" w:hAnsi="Lato" w:cs="Times New Roman"/>
          <w:color w:val="000000"/>
          <w:kern w:val="0"/>
          <w:sz w:val="23"/>
          <w:szCs w:val="23"/>
          <w:lang w:eastAsia="fr-BE"/>
          <w14:ligatures w14:val="none"/>
        </w:rPr>
        <w:t>, disponibles sur une base FCA </w:t>
      </w:r>
      <w:r w:rsidRPr="004559CE">
        <w:rPr>
          <w:rFonts w:ascii="Lato" w:eastAsia="Times New Roman" w:hAnsi="Lato" w:cs="Times New Roman"/>
          <w:b/>
          <w:bCs/>
          <w:color w:val="000000"/>
          <w:kern w:val="0"/>
          <w:sz w:val="23"/>
          <w:szCs w:val="23"/>
          <w:lang w:eastAsia="fr-BE"/>
          <w14:ligatures w14:val="none"/>
        </w:rPr>
        <w:t>Anvers </w:t>
      </w:r>
      <w:r w:rsidRPr="004559CE">
        <w:rPr>
          <w:rFonts w:ascii="Lato" w:eastAsia="Times New Roman" w:hAnsi="Lato" w:cs="Times New Roman"/>
          <w:color w:val="000000"/>
          <w:kern w:val="0"/>
          <w:sz w:val="23"/>
          <w:szCs w:val="23"/>
          <w:lang w:eastAsia="fr-BE"/>
          <w14:ligatures w14:val="none"/>
        </w:rPr>
        <w:t>et </w:t>
      </w:r>
      <w:r w:rsidRPr="004559CE">
        <w:rPr>
          <w:rFonts w:ascii="Lato" w:eastAsia="Times New Roman" w:hAnsi="Lato" w:cs="Times New Roman"/>
          <w:b/>
          <w:bCs/>
          <w:color w:val="000000"/>
          <w:kern w:val="0"/>
          <w:sz w:val="23"/>
          <w:szCs w:val="23"/>
          <w:lang w:eastAsia="fr-BE"/>
          <w14:ligatures w14:val="none"/>
        </w:rPr>
        <w:t>Rotterdam </w:t>
      </w:r>
      <w:r w:rsidRPr="004559CE">
        <w:rPr>
          <w:rFonts w:ascii="Lato" w:eastAsia="Times New Roman" w:hAnsi="Lato" w:cs="Times New Roman"/>
          <w:color w:val="000000"/>
          <w:kern w:val="0"/>
          <w:sz w:val="23"/>
          <w:szCs w:val="23"/>
          <w:lang w:eastAsia="fr-BE"/>
          <w14:ligatures w14:val="none"/>
        </w:rPr>
        <w:t>ont progressé de 10 $ à la fourchette basse pour s’établir à 250-270 $/t. « </w:t>
      </w:r>
      <w:r w:rsidRPr="004559CE">
        <w:rPr>
          <w:rFonts w:ascii="Lato" w:eastAsia="Times New Roman" w:hAnsi="Lato" w:cs="Times New Roman"/>
          <w:i/>
          <w:iCs/>
          <w:color w:val="000000"/>
          <w:kern w:val="0"/>
          <w:sz w:val="23"/>
          <w:szCs w:val="23"/>
          <w:lang w:eastAsia="fr-BE"/>
          <w14:ligatures w14:val="none"/>
        </w:rPr>
        <w:t>Les primes sont tirées à la hausse par les tensions sur l’offre </w:t>
      </w:r>
      <w:r w:rsidRPr="004559CE">
        <w:rPr>
          <w:rFonts w:ascii="Lato" w:eastAsia="Times New Roman" w:hAnsi="Lato" w:cs="Times New Roman"/>
          <w:color w:val="000000"/>
          <w:kern w:val="0"/>
          <w:sz w:val="23"/>
          <w:szCs w:val="23"/>
          <w:lang w:eastAsia="fr-BE"/>
          <w14:ligatures w14:val="none"/>
        </w:rPr>
        <w:t>», indique un trader. Certaines sources estiment qu’elles pourraient se dissiper au cours des prochaines semaines.  « </w:t>
      </w:r>
      <w:r w:rsidRPr="004559CE">
        <w:rPr>
          <w:rFonts w:ascii="Lato" w:eastAsia="Times New Roman" w:hAnsi="Lato" w:cs="Times New Roman"/>
          <w:i/>
          <w:iCs/>
          <w:color w:val="000000"/>
          <w:kern w:val="0"/>
          <w:sz w:val="23"/>
          <w:szCs w:val="23"/>
          <w:lang w:eastAsia="fr-BE"/>
          <w14:ligatures w14:val="none"/>
        </w:rPr>
        <w:t>Les usines parviennent à se procurer du métal auprès de distributeurs locaux, le sentiment de panique se dissipe un peu </w:t>
      </w:r>
      <w:r w:rsidRPr="004559CE">
        <w:rPr>
          <w:rFonts w:ascii="Lato" w:eastAsia="Times New Roman" w:hAnsi="Lato" w:cs="Times New Roman"/>
          <w:color w:val="000000"/>
          <w:kern w:val="0"/>
          <w:sz w:val="23"/>
          <w:szCs w:val="23"/>
          <w:lang w:eastAsia="fr-BE"/>
          <w14:ligatures w14:val="none"/>
        </w:rPr>
        <w:t>», ajoute un second trader.  Des sources concordantes révèlent que des livraisons sont attendues en provenance d’Amérique du Sud. Certaines confient avoir réceptionné quelques tonnages en provenance du Pérou. Le marché est cependant affecté par la faiblesse persistante de la demande. « </w:t>
      </w:r>
      <w:r w:rsidRPr="004559CE">
        <w:rPr>
          <w:rFonts w:ascii="Lato" w:eastAsia="Times New Roman" w:hAnsi="Lato" w:cs="Times New Roman"/>
          <w:i/>
          <w:iCs/>
          <w:color w:val="000000"/>
          <w:kern w:val="0"/>
          <w:sz w:val="23"/>
          <w:szCs w:val="23"/>
          <w:lang w:eastAsia="fr-BE"/>
          <w14:ligatures w14:val="none"/>
        </w:rPr>
        <w:t>Certains acheteurs reportent les livraisons à la fin de l’année, faute de demande en aval </w:t>
      </w:r>
      <w:r w:rsidRPr="004559CE">
        <w:rPr>
          <w:rFonts w:ascii="Lato" w:eastAsia="Times New Roman" w:hAnsi="Lato" w:cs="Times New Roman"/>
          <w:color w:val="000000"/>
          <w:kern w:val="0"/>
          <w:sz w:val="23"/>
          <w:szCs w:val="23"/>
          <w:lang w:eastAsia="fr-BE"/>
          <w14:ligatures w14:val="none"/>
        </w:rPr>
        <w:t>», ajoute le deuxième trader.</w:t>
      </w:r>
    </w:p>
    <w:p w14:paraId="3BB89C27"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 </w:t>
      </w:r>
    </w:p>
    <w:p w14:paraId="344B63A1"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b/>
          <w:bCs/>
          <w:color w:val="A52A2A"/>
          <w:kern w:val="0"/>
          <w:sz w:val="23"/>
          <w:szCs w:val="23"/>
          <w:lang w:eastAsia="fr-BE"/>
          <w14:ligatures w14:val="none"/>
        </w:rPr>
        <w:t>Nickel : stabilité</w:t>
      </w:r>
    </w:p>
    <w:p w14:paraId="4B39DAB3" w14:textId="77777777" w:rsidR="004559CE" w:rsidRPr="004559CE" w:rsidRDefault="004559CE" w:rsidP="004559CE">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559CE">
        <w:rPr>
          <w:rFonts w:ascii="Lato" w:eastAsia="Times New Roman" w:hAnsi="Lato" w:cs="Times New Roman"/>
          <w:color w:val="000000"/>
          <w:kern w:val="0"/>
          <w:sz w:val="23"/>
          <w:szCs w:val="23"/>
          <w:lang w:eastAsia="fr-BE"/>
          <w14:ligatures w14:val="none"/>
        </w:rPr>
        <w:t>Pas d’évolution pour les primes négociées sur le marché européen du nickel ; quelques transactions concernant des </w:t>
      </w:r>
      <w:r w:rsidRPr="004559CE">
        <w:rPr>
          <w:rFonts w:ascii="Lato" w:eastAsia="Times New Roman" w:hAnsi="Lato" w:cs="Times New Roman"/>
          <w:color w:val="000000"/>
          <w:kern w:val="0"/>
          <w:sz w:val="23"/>
          <w:szCs w:val="23"/>
          <w:u w:val="single"/>
          <w:lang w:eastAsia="fr-BE"/>
          <w14:ligatures w14:val="none"/>
        </w:rPr>
        <w:t>cathodes entières</w:t>
      </w:r>
      <w:r w:rsidRPr="004559CE">
        <w:rPr>
          <w:rFonts w:ascii="Lato" w:eastAsia="Times New Roman" w:hAnsi="Lato" w:cs="Times New Roman"/>
          <w:color w:val="000000"/>
          <w:kern w:val="0"/>
          <w:sz w:val="23"/>
          <w:szCs w:val="23"/>
          <w:lang w:eastAsia="fr-BE"/>
          <w14:ligatures w14:val="none"/>
        </w:rPr>
        <w:t> ont été scellées en dehors de la fourchette, mais elles n’étaient pas représentatives du marché. Dans ces conditions, les primes sur les </w:t>
      </w:r>
      <w:r w:rsidRPr="004559CE">
        <w:rPr>
          <w:rFonts w:ascii="Lato" w:eastAsia="Times New Roman" w:hAnsi="Lato" w:cs="Times New Roman"/>
          <w:color w:val="000000"/>
          <w:kern w:val="0"/>
          <w:sz w:val="23"/>
          <w:szCs w:val="23"/>
          <w:u w:val="single"/>
          <w:lang w:eastAsia="fr-BE"/>
          <w14:ligatures w14:val="none"/>
        </w:rPr>
        <w:t>cathodes entières</w:t>
      </w:r>
      <w:r w:rsidRPr="004559CE">
        <w:rPr>
          <w:rFonts w:ascii="Lato" w:eastAsia="Times New Roman" w:hAnsi="Lato" w:cs="Times New Roman"/>
          <w:color w:val="000000"/>
          <w:kern w:val="0"/>
          <w:sz w:val="23"/>
          <w:szCs w:val="23"/>
          <w:lang w:eastAsia="fr-BE"/>
          <w14:ligatures w14:val="none"/>
        </w:rPr>
        <w:t> demeurent à 220-235 $/t, au départ des entrepôts de </w:t>
      </w:r>
      <w:r w:rsidRPr="004559CE">
        <w:rPr>
          <w:rFonts w:ascii="Lato" w:eastAsia="Times New Roman" w:hAnsi="Lato" w:cs="Times New Roman"/>
          <w:b/>
          <w:bCs/>
          <w:color w:val="000000"/>
          <w:kern w:val="0"/>
          <w:sz w:val="23"/>
          <w:szCs w:val="23"/>
          <w:lang w:eastAsia="fr-BE"/>
          <w14:ligatures w14:val="none"/>
        </w:rPr>
        <w:t>Rotterdam</w:t>
      </w:r>
      <w:r w:rsidRPr="004559CE">
        <w:rPr>
          <w:rFonts w:ascii="Lato" w:eastAsia="Times New Roman" w:hAnsi="Lato" w:cs="Times New Roman"/>
          <w:color w:val="000000"/>
          <w:kern w:val="0"/>
          <w:sz w:val="23"/>
          <w:szCs w:val="23"/>
          <w:lang w:eastAsia="fr-BE"/>
          <w14:ligatures w14:val="none"/>
        </w:rPr>
        <w:t>. Des niveaux inférieurs, à 175 $/t notamment, seraient accessibles pour la deuxième semaine consécutive, reconnaissent des vendeurs. « </w:t>
      </w:r>
      <w:r w:rsidRPr="004559CE">
        <w:rPr>
          <w:rFonts w:ascii="Lato" w:eastAsia="Times New Roman" w:hAnsi="Lato" w:cs="Times New Roman"/>
          <w:i/>
          <w:iCs/>
          <w:color w:val="000000"/>
          <w:kern w:val="0"/>
          <w:sz w:val="23"/>
          <w:szCs w:val="23"/>
          <w:lang w:eastAsia="fr-BE"/>
          <w14:ligatures w14:val="none"/>
        </w:rPr>
        <w:t>La demande est particulièrement faible et l’offre pléthorique </w:t>
      </w:r>
      <w:r w:rsidRPr="004559CE">
        <w:rPr>
          <w:rFonts w:ascii="Lato" w:eastAsia="Times New Roman" w:hAnsi="Lato" w:cs="Times New Roman"/>
          <w:color w:val="000000"/>
          <w:kern w:val="0"/>
          <w:sz w:val="23"/>
          <w:szCs w:val="23"/>
          <w:lang w:eastAsia="fr-BE"/>
          <w14:ligatures w14:val="none"/>
        </w:rPr>
        <w:t>», résume un trader. Les magasins du LME à </w:t>
      </w:r>
      <w:r w:rsidRPr="004559CE">
        <w:rPr>
          <w:rFonts w:ascii="Lato" w:eastAsia="Times New Roman" w:hAnsi="Lato" w:cs="Times New Roman"/>
          <w:b/>
          <w:bCs/>
          <w:color w:val="000000"/>
          <w:kern w:val="0"/>
          <w:sz w:val="23"/>
          <w:szCs w:val="23"/>
          <w:lang w:eastAsia="fr-BE"/>
          <w14:ligatures w14:val="none"/>
        </w:rPr>
        <w:t>Rotterdam </w:t>
      </w:r>
      <w:r w:rsidRPr="004559CE">
        <w:rPr>
          <w:rFonts w:ascii="Lato" w:eastAsia="Times New Roman" w:hAnsi="Lato" w:cs="Times New Roman"/>
          <w:color w:val="000000"/>
          <w:kern w:val="0"/>
          <w:sz w:val="23"/>
          <w:szCs w:val="23"/>
          <w:lang w:eastAsia="fr-BE"/>
          <w14:ligatures w14:val="none"/>
        </w:rPr>
        <w:t>abritent actuellement près de 27.000 tonnes de cathodes. Les primes sur les </w:t>
      </w:r>
      <w:r w:rsidRPr="004559CE">
        <w:rPr>
          <w:rFonts w:ascii="Lato" w:eastAsia="Times New Roman" w:hAnsi="Lato" w:cs="Times New Roman"/>
          <w:color w:val="000000"/>
          <w:kern w:val="0"/>
          <w:sz w:val="23"/>
          <w:szCs w:val="23"/>
          <w:u w:val="single"/>
          <w:lang w:eastAsia="fr-BE"/>
          <w14:ligatures w14:val="none"/>
        </w:rPr>
        <w:t>cathodes coupées</w:t>
      </w:r>
      <w:r w:rsidRPr="004559CE">
        <w:rPr>
          <w:rFonts w:ascii="Lato" w:eastAsia="Times New Roman" w:hAnsi="Lato" w:cs="Times New Roman"/>
          <w:color w:val="000000"/>
          <w:kern w:val="0"/>
          <w:sz w:val="23"/>
          <w:szCs w:val="23"/>
          <w:lang w:eastAsia="fr-BE"/>
          <w14:ligatures w14:val="none"/>
        </w:rPr>
        <w:t> sont également inchangées à 300-500 $/t. </w:t>
      </w:r>
      <w:r w:rsidRPr="004559CE">
        <w:rPr>
          <w:rFonts w:ascii="Lato" w:eastAsia="Times New Roman" w:hAnsi="Lato" w:cs="Times New Roman"/>
          <w:i/>
          <w:iCs/>
          <w:color w:val="000000"/>
          <w:kern w:val="0"/>
          <w:sz w:val="23"/>
          <w:szCs w:val="23"/>
          <w:lang w:eastAsia="fr-BE"/>
          <w14:ligatures w14:val="none"/>
        </w:rPr>
        <w:t>Idem</w:t>
      </w:r>
      <w:r w:rsidRPr="004559CE">
        <w:rPr>
          <w:rFonts w:ascii="Lato" w:eastAsia="Times New Roman" w:hAnsi="Lato" w:cs="Times New Roman"/>
          <w:color w:val="000000"/>
          <w:kern w:val="0"/>
          <w:sz w:val="23"/>
          <w:szCs w:val="23"/>
          <w:lang w:eastAsia="fr-BE"/>
          <w14:ligatures w14:val="none"/>
        </w:rPr>
        <w:t>, pour les primes sur les </w:t>
      </w:r>
      <w:r w:rsidRPr="004559CE">
        <w:rPr>
          <w:rFonts w:ascii="Lato" w:eastAsia="Times New Roman" w:hAnsi="Lato" w:cs="Times New Roman"/>
          <w:color w:val="000000"/>
          <w:kern w:val="0"/>
          <w:sz w:val="23"/>
          <w:szCs w:val="23"/>
          <w:u w:val="single"/>
          <w:lang w:eastAsia="fr-BE"/>
          <w14:ligatures w14:val="none"/>
        </w:rPr>
        <w:t>briquettes</w:t>
      </w:r>
      <w:r w:rsidRPr="004559CE">
        <w:rPr>
          <w:rFonts w:ascii="Lato" w:eastAsia="Times New Roman" w:hAnsi="Lato" w:cs="Times New Roman"/>
          <w:color w:val="000000"/>
          <w:kern w:val="0"/>
          <w:sz w:val="23"/>
          <w:szCs w:val="23"/>
          <w:lang w:eastAsia="fr-BE"/>
          <w14:ligatures w14:val="none"/>
        </w:rPr>
        <w:t>, à 420-550 $/t. « </w:t>
      </w:r>
      <w:r w:rsidRPr="004559CE">
        <w:rPr>
          <w:rFonts w:ascii="Lato" w:eastAsia="Times New Roman" w:hAnsi="Lato" w:cs="Times New Roman"/>
          <w:i/>
          <w:iCs/>
          <w:color w:val="000000"/>
          <w:kern w:val="0"/>
          <w:sz w:val="23"/>
          <w:szCs w:val="23"/>
          <w:lang w:eastAsia="fr-BE"/>
          <w14:ligatures w14:val="none"/>
        </w:rPr>
        <w:t>Le conflit israélo-iranien n’a aucun impact sur le marché européen du nickel. En revanche, s’il devait durer, il aurait des répercussions économiques </w:t>
      </w:r>
      <w:r w:rsidRPr="004559CE">
        <w:rPr>
          <w:rFonts w:ascii="Lato" w:eastAsia="Times New Roman" w:hAnsi="Lato" w:cs="Times New Roman"/>
          <w:color w:val="000000"/>
          <w:kern w:val="0"/>
          <w:sz w:val="23"/>
          <w:szCs w:val="23"/>
          <w:lang w:eastAsia="fr-BE"/>
          <w14:ligatures w14:val="none"/>
        </w:rPr>
        <w:t>», indique une source. </w:t>
      </w:r>
    </w:p>
    <w:p w14:paraId="3B5A96D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CE"/>
    <w:rsid w:val="00287462"/>
    <w:rsid w:val="004559CE"/>
    <w:rsid w:val="00B359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B8F3"/>
  <w15:chartTrackingRefBased/>
  <w15:docId w15:val="{0E3715C6-21DD-4D08-AD7F-6A438D84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5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5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59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59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59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59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59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59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59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59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59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59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59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59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59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59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59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59CE"/>
    <w:rPr>
      <w:rFonts w:eastAsiaTheme="majorEastAsia" w:cstheme="majorBidi"/>
      <w:color w:val="272727" w:themeColor="text1" w:themeTint="D8"/>
    </w:rPr>
  </w:style>
  <w:style w:type="paragraph" w:styleId="Titre">
    <w:name w:val="Title"/>
    <w:basedOn w:val="Normal"/>
    <w:next w:val="Normal"/>
    <w:link w:val="TitreCar"/>
    <w:uiPriority w:val="10"/>
    <w:qFormat/>
    <w:rsid w:val="00455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59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59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59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59CE"/>
    <w:pPr>
      <w:spacing w:before="160"/>
      <w:jc w:val="center"/>
    </w:pPr>
    <w:rPr>
      <w:i/>
      <w:iCs/>
      <w:color w:val="404040" w:themeColor="text1" w:themeTint="BF"/>
    </w:rPr>
  </w:style>
  <w:style w:type="character" w:customStyle="1" w:styleId="CitationCar">
    <w:name w:val="Citation Car"/>
    <w:basedOn w:val="Policepardfaut"/>
    <w:link w:val="Citation"/>
    <w:uiPriority w:val="29"/>
    <w:rsid w:val="004559CE"/>
    <w:rPr>
      <w:i/>
      <w:iCs/>
      <w:color w:val="404040" w:themeColor="text1" w:themeTint="BF"/>
    </w:rPr>
  </w:style>
  <w:style w:type="paragraph" w:styleId="Paragraphedeliste">
    <w:name w:val="List Paragraph"/>
    <w:basedOn w:val="Normal"/>
    <w:uiPriority w:val="34"/>
    <w:qFormat/>
    <w:rsid w:val="004559CE"/>
    <w:pPr>
      <w:ind w:left="720"/>
      <w:contextualSpacing/>
    </w:pPr>
  </w:style>
  <w:style w:type="character" w:styleId="Accentuationintense">
    <w:name w:val="Intense Emphasis"/>
    <w:basedOn w:val="Policepardfaut"/>
    <w:uiPriority w:val="21"/>
    <w:qFormat/>
    <w:rsid w:val="004559CE"/>
    <w:rPr>
      <w:i/>
      <w:iCs/>
      <w:color w:val="0F4761" w:themeColor="accent1" w:themeShade="BF"/>
    </w:rPr>
  </w:style>
  <w:style w:type="paragraph" w:styleId="Citationintense">
    <w:name w:val="Intense Quote"/>
    <w:basedOn w:val="Normal"/>
    <w:next w:val="Normal"/>
    <w:link w:val="CitationintenseCar"/>
    <w:uiPriority w:val="30"/>
    <w:qFormat/>
    <w:rsid w:val="00455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59CE"/>
    <w:rPr>
      <w:i/>
      <w:iCs/>
      <w:color w:val="0F4761" w:themeColor="accent1" w:themeShade="BF"/>
    </w:rPr>
  </w:style>
  <w:style w:type="character" w:styleId="Rfrenceintense">
    <w:name w:val="Intense Reference"/>
    <w:basedOn w:val="Policepardfaut"/>
    <w:uiPriority w:val="32"/>
    <w:qFormat/>
    <w:rsid w:val="004559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32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4435</Characters>
  <Application>Microsoft Office Word</Application>
  <DocSecurity>0</DocSecurity>
  <Lines>36</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2025-06-24T05:08:00Z</dcterms:created>
  <dcterms:modified xsi:type="dcterms:W3CDTF">2025-06-24T05:08:00Z</dcterms:modified>
</cp:coreProperties>
</file>